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561B2E" w:rsidRPr="003A3CD9"/>
    <w:p w:rsidR="00561B2E" w:rsidRPr="003A3CD9" w:rsidP="00561B2E">
      <w:pPr>
        <w:jc w:val="center"/>
        <w:rPr>
          <w:rFonts w:ascii="Calibri" w:hAnsi="Calibri"/>
          <w:b/>
          <w:i/>
        </w:rPr>
      </w:pPr>
      <w:r w:rsidRPr="003A3CD9">
        <w:rPr>
          <w:rFonts w:ascii="Calibri" w:hAnsi="Calibri"/>
          <w:b/>
          <w:i/>
        </w:rPr>
        <w:t>REGULARLY SCHEDULED SERIES ANNOUNCEMENT</w:t>
      </w:r>
    </w:p>
    <w:p w:rsidR="00561B2E" w:rsidRPr="003A3CD9" w:rsidP="00561B2E">
      <w:pPr>
        <w:jc w:val="center"/>
        <w:rPr>
          <w:rFonts w:ascii="Calibri" w:hAnsi="Calibri"/>
          <w:b/>
          <w:i/>
        </w:rPr>
      </w:pPr>
      <w:r>
        <w:rPr>
          <w:rFonts w:ascii="Calibri" w:hAnsi="Calibri"/>
          <w:b/>
          <w:i/>
          <w:noProof/>
        </w:rPr>
        <w:pict>
          <v:shapetype id="_x0000_t202" coordsize="21600,21600" o:spt="202" path="m,l,21600r21600,l21600,xe">
            <v:stroke joinstyle="miter"/>
            <v:path gradientshapeok="t" o:connecttype="rect"/>
          </v:shapetype>
          <v:shape id="Text Box 3" o:spid="_x0000_s1025" type="#_x0000_t202" style="height:26.6pt;margin-left:6pt;margin-top:4pt;mso-height-percent:0;mso-height-relative:margin;mso-width-percent:0;mso-width-relative:margin;mso-wrap-distance-bottom:0;mso-wrap-distance-left:9pt;mso-wrap-distance-right:9pt;mso-wrap-distance-top:0;mso-wrap-style:square;position:absolute;v-text-anchor:top;visibility:visible;width:443.25pt;z-index:251658240">
            <v:textbox>
              <w:txbxContent>
                <w:p w:rsidR="00561B2E" w:rsidRPr="005B7E65" w:rsidP="00561B2E">
                  <w:pPr>
                    <w:jc w:val="center"/>
                    <w:rPr>
                      <w:rFonts w:ascii="Calibri" w:hAnsi="Calibri"/>
                      <w:b/>
                      <w:sz w:val="32"/>
                    </w:rPr>
                  </w:pPr>
                  <w:r>
                    <w:rPr>
                      <w:rFonts w:ascii="Calibri" w:hAnsi="Calibri"/>
                      <w:b/>
                      <w:noProof/>
                      <w:sz w:val="32"/>
                    </w:rPr>
                    <w:t>ADVANCES IN</w:t>
                  </w:r>
                  <w:r>
                    <w:rPr>
                      <w:rFonts w:ascii="Calibri" w:hAnsi="Calibri"/>
                      <w:b/>
                      <w:noProof/>
                      <w:sz w:val="32"/>
                    </w:rPr>
                    <w:t xml:space="preserve"> PERITONEAL DIALYSIS: Annual Symposium</w:t>
                  </w:r>
                </w:p>
              </w:txbxContent>
            </v:textbox>
            <w10:wrap type="tight"/>
          </v:shape>
        </w:pict>
      </w:r>
    </w:p>
    <w:p w:rsidR="00561B2E" w:rsidRPr="003A3CD9" w:rsidP="00561B2E">
      <w:pPr>
        <w:jc w:val="center"/>
        <w:rPr>
          <w:rFonts w:ascii="Calibri" w:hAnsi="Calibri"/>
          <w:b/>
          <w:i/>
        </w:rPr>
      </w:pPr>
    </w:p>
    <w:p w:rsidR="00561B2E" w:rsidRPr="003A3CD9" w:rsidP="00561B2E">
      <w:pPr>
        <w:jc w:val="center"/>
        <w:rPr>
          <w:rFonts w:ascii="Calibri" w:hAnsi="Calibri"/>
          <w:b/>
          <w:i/>
        </w:rPr>
      </w:pPr>
    </w:p>
    <w:p w:rsidR="00561B2E" w:rsidRPr="003A3CD9" w:rsidP="00561B2E">
      <w:pPr>
        <w:jc w:val="center"/>
        <w:rPr>
          <w:rFonts w:ascii="Calibri" w:hAnsi="Calibri"/>
          <w:b/>
          <w:i/>
        </w:rPr>
      </w:pPr>
      <w:r>
        <w:rPr>
          <w:rFonts w:ascii="Calibri" w:hAnsi="Calibri"/>
          <w:b/>
          <w:i/>
        </w:rPr>
        <w:t>Provid</w:t>
      </w:r>
      <w:r w:rsidRPr="003A3CD9">
        <w:rPr>
          <w:rFonts w:ascii="Calibri" w:hAnsi="Calibri"/>
          <w:b/>
          <w:i/>
        </w:rPr>
        <w:t xml:space="preserve">ed by </w:t>
      </w:r>
      <w:r>
        <w:rPr>
          <w:rFonts w:ascii="Calibri" w:hAnsi="Calibri"/>
          <w:b/>
          <w:i/>
          <w:noProof/>
        </w:rPr>
        <w:t>Department of</w:t>
      </w:r>
      <w:r w:rsidR="00C14F3C">
        <w:rPr>
          <w:rFonts w:ascii="Calibri" w:hAnsi="Calibri"/>
          <w:b/>
          <w:i/>
          <w:noProof/>
        </w:rPr>
        <w:t xml:space="preserve"> Medicine, Nephrology</w:t>
      </w:r>
    </w:p>
    <w:p w:rsidR="00561B2E" w:rsidRPr="003A3CD9" w:rsidP="00561B2E">
      <w:pPr>
        <w:rPr>
          <w:rFonts w:ascii="Calibri" w:hAnsi="Calibri"/>
          <w:b/>
          <w:i/>
        </w:rPr>
      </w:pPr>
    </w:p>
    <w:p w:rsidR="00561B2E" w:rsidP="00561B2E">
      <w:pPr>
        <w:spacing w:after="120"/>
        <w:rPr>
          <w:rFonts w:ascii="Calibri" w:hAnsi="Calibri"/>
          <w:b/>
          <w:i/>
        </w:rPr>
      </w:pPr>
      <w:r>
        <w:rPr>
          <w:rFonts w:ascii="Calibri" w:hAnsi="Calibri"/>
          <w:b/>
          <w:i/>
        </w:rPr>
        <w:t xml:space="preserve">Speaker: </w:t>
      </w:r>
      <w:r w:rsidR="00C14F3C">
        <w:rPr>
          <w:rFonts w:ascii="Calibri" w:hAnsi="Calibri"/>
          <w:i/>
          <w:noProof/>
        </w:rPr>
        <w:fldChar w:fldCharType="begin"/>
      </w:r>
      <w:r w:rsidR="00C14F3C">
        <w:rPr>
          <w:rFonts w:ascii="Calibri" w:hAnsi="Calibri"/>
          <w:i/>
          <w:noProof/>
        </w:rPr>
        <w:instrText xml:space="preserve"> MERGEFIELD FullName \* MERGEFORMAT </w:instrText>
      </w:r>
      <w:r w:rsidR="00C14F3C">
        <w:rPr>
          <w:rFonts w:ascii="Calibri" w:hAnsi="Calibri"/>
          <w:i/>
          <w:noProof/>
        </w:rPr>
        <w:fldChar w:fldCharType="separate"/>
      </w:r>
      <w:r>
        <w:rPr>
          <w:rFonts w:ascii="Calibri" w:hAnsi="Calibri"/>
          <w:i/>
          <w:noProof/>
        </w:rPr>
        <w:t>«FullName»</w:t>
      </w:r>
      <w:r w:rsidR="00C14F3C">
        <w:rPr>
          <w:rFonts w:ascii="Calibri" w:hAnsi="Calibri"/>
          <w:i/>
          <w:noProof/>
        </w:rPr>
        <w:fldChar w:fldCharType="end"/>
      </w:r>
    </w:p>
    <w:p w:rsidR="00561B2E" w:rsidRPr="003A3CD9" w:rsidP="00561B2E">
      <w:pPr>
        <w:spacing w:after="120"/>
        <w:rPr>
          <w:rFonts w:ascii="Calibri" w:hAnsi="Calibri"/>
          <w:b/>
          <w:i/>
        </w:rPr>
      </w:pPr>
      <w:r w:rsidRPr="003A3CD9">
        <w:rPr>
          <w:rFonts w:ascii="Calibri" w:hAnsi="Calibri"/>
          <w:b/>
          <w:i/>
        </w:rPr>
        <w:t>Topic:</w:t>
      </w:r>
      <w:r>
        <w:rPr>
          <w:rFonts w:ascii="Calibri" w:hAnsi="Calibri"/>
          <w:b/>
          <w:i/>
        </w:rPr>
        <w:t xml:space="preserve"> </w:t>
      </w:r>
      <w:r w:rsidR="00C35EAB">
        <w:rPr>
          <w:rFonts w:ascii="Calibri" w:hAnsi="Calibri"/>
          <w:i/>
          <w:noProof/>
        </w:rPr>
        <w:t>This is</w:t>
      </w:r>
      <w:r w:rsidR="00C14F3C">
        <w:rPr>
          <w:rFonts w:ascii="Calibri" w:hAnsi="Calibri"/>
          <w:i/>
          <w:noProof/>
        </w:rPr>
        <w:t xml:space="preserve"> a one day live conference on home dialysis sponsored by the Icahn School of Medicine at Mount Sinai. Practitioners, researchers, clinician-scientists and registered nurses who are experts in the field of kidney disease will discuss current developments in the field of Peritoneal Dialysis and related dialysis modalities. The topics will range from nutritional management of patients with kidney disease to organizing a successful PD program. Patients will also be participating in this conference and will give their perspective of whether or not peritoneal dialysis is the right choice for them.The conference is designed for health professionals involved in established PD programs, as well as those working in new and developing programs. Both researchers and clinicians will find sessions of interest to them.</w:t>
      </w:r>
    </w:p>
    <w:p w:rsidR="00561B2E" w:rsidRPr="003A3CD9" w:rsidP="00561B2E">
      <w:pPr>
        <w:rPr>
          <w:rFonts w:ascii="Calibri" w:hAnsi="Calibri"/>
          <w:b/>
        </w:rPr>
      </w:pPr>
      <w:r w:rsidRPr="003A3CD9">
        <w:rPr>
          <w:rFonts w:ascii="Calibri" w:hAnsi="Calibri"/>
          <w:b/>
          <w:i/>
        </w:rPr>
        <w:t xml:space="preserve">Purpose or Objectives: </w:t>
      </w:r>
      <w:r w:rsidRPr="003A3CD9">
        <w:rPr>
          <w:rFonts w:ascii="Calibri" w:hAnsi="Calibri"/>
          <w:b/>
        </w:rPr>
        <w:t xml:space="preserve"> At the conclusion of this activity, the participant will be able to:</w:t>
      </w:r>
    </w:p>
    <w:p w:rsidR="00561B2E" w:rsidP="00561B2E">
      <w:pPr>
        <w:spacing w:after="120"/>
        <w:rPr>
          <w:rFonts w:ascii="Calibri" w:hAnsi="Calibri"/>
          <w:noProof/>
        </w:rPr>
      </w:pPr>
    </w:p>
    <w:p w:rsidR="00561B2E" w:rsidP="00561B2E">
      <w:pPr>
        <w:spacing w:after="120"/>
        <w:rPr>
          <w:rFonts w:ascii="Calibri" w:hAnsi="Calibri"/>
          <w:noProof/>
        </w:rPr>
      </w:pPr>
      <w:r>
        <w:rPr>
          <w:rFonts w:ascii="Calibri" w:hAnsi="Calibri"/>
          <w:noProof/>
        </w:rPr>
        <w:t>Objectives</w:t>
      </w:r>
    </w:p>
    <w:p w:rsidP="00561B2E">
      <w:pPr>
        <w:spacing w:after="120"/>
        <w:rPr>
          <w:rFonts w:ascii="Calibri" w:hAnsi="Calibri"/>
          <w:noProof/>
        </w:rPr>
      </w:pPr>
    </w:p>
    <w:p w:rsidP="00561B2E">
      <w:pPr>
        <w:spacing w:after="120"/>
        <w:rPr>
          <w:rFonts w:ascii="Calibri" w:hAnsi="Calibri"/>
          <w:noProof/>
        </w:rPr>
      </w:pPr>
      <w:r>
        <w:rPr>
          <w:rFonts w:ascii="Calibri" w:hAnsi="Calibri"/>
          <w:noProof/>
        </w:rPr>
        <w:t>At the conclusion of this activity, participants will be able to:&amp;nbsp;&amp;nbsp;</w:t>
      </w:r>
    </w:p>
    <w:p w:rsidP="00561B2E">
      <w:pPr>
        <w:spacing w:after="120"/>
        <w:rPr>
          <w:rFonts w:ascii="Calibri" w:hAnsi="Calibri"/>
          <w:noProof/>
        </w:rPr>
      </w:pPr>
    </w:p>
    <w:p w:rsidP="00561B2E">
      <w:pPr>
        <w:spacing w:after="120"/>
        <w:rPr>
          <w:rFonts w:ascii="Calibri" w:hAnsi="Calibri"/>
          <w:noProof/>
        </w:rPr>
      </w:pPr>
      <w:r>
        <w:rPr>
          <w:rFonts w:ascii="Calibri" w:hAnsi="Calibri"/>
          <w:noProof/>
        </w:rPr>
        <w:t>1. Recognize the impact of nutritional management, in particular with respect to phosphorus and exemplify the survival advantage when under control.</w:t>
      </w:r>
    </w:p>
    <w:p w:rsidP="00561B2E">
      <w:pPr>
        <w:spacing w:after="120"/>
        <w:rPr>
          <w:rFonts w:ascii="Calibri" w:hAnsi="Calibri"/>
          <w:noProof/>
        </w:rPr>
      </w:pPr>
    </w:p>
    <w:p w:rsidP="00561B2E">
      <w:pPr>
        <w:spacing w:after="120"/>
        <w:rPr>
          <w:rFonts w:ascii="Calibri" w:hAnsi="Calibri"/>
          <w:noProof/>
        </w:rPr>
      </w:pPr>
      <w:r>
        <w:rPr>
          <w:rFonts w:ascii="Calibri" w:hAnsi="Calibri"/>
          <w:noProof/>
        </w:rPr>
        <w:t>2. Explain to patients the relevance of adherence to treatments and nutritional needs for their well-being.</w:t>
      </w:r>
    </w:p>
    <w:p w:rsidP="00561B2E">
      <w:pPr>
        <w:spacing w:after="120"/>
        <w:rPr>
          <w:rFonts w:ascii="Calibri" w:hAnsi="Calibri"/>
          <w:noProof/>
        </w:rPr>
      </w:pPr>
    </w:p>
    <w:p w:rsidP="00561B2E">
      <w:pPr>
        <w:spacing w:after="120"/>
        <w:rPr>
          <w:rFonts w:ascii="Calibri" w:hAnsi="Calibri"/>
          <w:noProof/>
        </w:rPr>
      </w:pPr>
      <w:r>
        <w:rPr>
          <w:rFonts w:ascii="Calibri" w:hAnsi="Calibri"/>
          <w:noProof/>
        </w:rPr>
        <w:t>3. Summarize the importance of vascular access choices and their impact on patient’s clinical outcomes.</w:t>
      </w:r>
    </w:p>
    <w:p w:rsidP="00561B2E">
      <w:pPr>
        <w:spacing w:after="120"/>
        <w:rPr>
          <w:rFonts w:ascii="Calibri" w:hAnsi="Calibri"/>
          <w:noProof/>
        </w:rPr>
      </w:pPr>
    </w:p>
    <w:p w:rsidP="00561B2E">
      <w:pPr>
        <w:spacing w:after="120"/>
        <w:rPr>
          <w:rFonts w:ascii="Calibri" w:hAnsi="Calibri"/>
          <w:noProof/>
        </w:rPr>
      </w:pPr>
      <w:r>
        <w:rPr>
          <w:rFonts w:ascii="Calibri" w:hAnsi="Calibri"/>
          <w:noProof/>
        </w:rPr>
        <w:t>4. Integrate strategies in identifying the most adequate vascular access for individual patients.</w:t>
      </w:r>
    </w:p>
    <w:p w:rsidP="00561B2E">
      <w:pPr>
        <w:spacing w:after="120"/>
        <w:rPr>
          <w:rFonts w:ascii="Calibri" w:hAnsi="Calibri"/>
          <w:noProof/>
        </w:rPr>
      </w:pPr>
    </w:p>
    <w:p w:rsidP="00561B2E">
      <w:pPr>
        <w:spacing w:after="120"/>
        <w:rPr>
          <w:rFonts w:ascii="Calibri" w:hAnsi="Calibri"/>
          <w:noProof/>
        </w:rPr>
      </w:pPr>
      <w:r>
        <w:rPr>
          <w:rFonts w:ascii="Calibri" w:hAnsi="Calibri"/>
          <w:noProof/>
        </w:rPr>
        <w:t>5. Differentiate the dynamics between intradialytic weight gain and fluid removal in relation to chronic volume overload.</w:t>
      </w:r>
    </w:p>
    <w:p w:rsidP="00561B2E">
      <w:pPr>
        <w:spacing w:after="120"/>
        <w:rPr>
          <w:rFonts w:ascii="Calibri" w:hAnsi="Calibri"/>
          <w:noProof/>
        </w:rPr>
      </w:pPr>
    </w:p>
    <w:p w:rsidP="00561B2E">
      <w:pPr>
        <w:spacing w:after="120"/>
        <w:rPr>
          <w:rFonts w:ascii="Calibri" w:hAnsi="Calibri"/>
          <w:noProof/>
        </w:rPr>
      </w:pPr>
      <w:r>
        <w:rPr>
          <w:rFonts w:ascii="Calibri" w:hAnsi="Calibri"/>
          <w:noProof/>
        </w:rPr>
        <w:t>6. Describe the most current innovations in the field of bio-engineered kidney research.</w:t>
      </w:r>
    </w:p>
    <w:p w:rsidP="00561B2E">
      <w:pPr>
        <w:spacing w:after="120"/>
        <w:rPr>
          <w:rFonts w:ascii="Calibri" w:hAnsi="Calibri"/>
          <w:noProof/>
        </w:rPr>
      </w:pPr>
    </w:p>
    <w:p w:rsidR="00561B2E" w:rsidRPr="00D345B6" w:rsidP="00561B2E">
      <w:pPr>
        <w:spacing w:after="120"/>
        <w:rPr>
          <w:rFonts w:ascii="Calibri" w:hAnsi="Calibri"/>
        </w:rPr>
      </w:pPr>
    </w:p>
    <w:p w:rsidR="00561B2E" w:rsidRPr="003A3CD9" w:rsidP="00561B2E">
      <w:pPr>
        <w:spacing w:after="120"/>
        <w:rPr>
          <w:rFonts w:ascii="Calibri" w:hAnsi="Calibri"/>
          <w:b/>
          <w:i/>
        </w:rPr>
      </w:pPr>
      <w:r w:rsidRPr="003A3CD9">
        <w:rPr>
          <w:rFonts w:ascii="Calibri" w:hAnsi="Calibri"/>
          <w:b/>
          <w:i/>
        </w:rPr>
        <w:t xml:space="preserve">Date/Time: </w:t>
      </w:r>
      <w:r w:rsidR="00C35EAB">
        <w:rPr>
          <w:rFonts w:ascii="Calibri" w:hAnsi="Calibri"/>
          <w:i/>
          <w:noProof/>
        </w:rPr>
        <w:t>9/21</w:t>
      </w:r>
      <w:r w:rsidR="00C14F3C">
        <w:rPr>
          <w:rFonts w:ascii="Calibri" w:hAnsi="Calibri"/>
          <w:i/>
          <w:noProof/>
        </w:rPr>
        <w:t>/2018 7:30:00 AM</w:t>
      </w:r>
      <w:r w:rsidRPr="007B5356">
        <w:rPr>
          <w:rFonts w:ascii="Calibri" w:hAnsi="Calibri"/>
          <w:i/>
        </w:rPr>
        <w:t xml:space="preserve">  </w:t>
      </w:r>
      <w:r w:rsidRPr="003A3CD9">
        <w:rPr>
          <w:rFonts w:ascii="Calibri" w:hAnsi="Calibri"/>
          <w:b/>
          <w:i/>
        </w:rPr>
        <w:t xml:space="preserve">  </w:t>
      </w:r>
    </w:p>
    <w:p w:rsidR="00561B2E" w:rsidRPr="003A3CD9" w:rsidP="00561B2E">
      <w:pPr>
        <w:spacing w:after="120"/>
        <w:rPr>
          <w:rFonts w:ascii="Calibri" w:hAnsi="Calibri"/>
          <w:b/>
          <w:i/>
        </w:rPr>
      </w:pPr>
      <w:r w:rsidRPr="003A3CD9">
        <w:rPr>
          <w:rFonts w:ascii="Calibri" w:hAnsi="Calibri"/>
          <w:b/>
          <w:i/>
        </w:rPr>
        <w:t>Location</w:t>
      </w:r>
      <w:r>
        <w:rPr>
          <w:rFonts w:ascii="Calibri" w:hAnsi="Calibri"/>
          <w:b/>
          <w:i/>
        </w:rPr>
        <w:t xml:space="preserve"> </w:t>
      </w:r>
      <w:r>
        <w:rPr>
          <w:rFonts w:ascii="Calibri" w:hAnsi="Calibri"/>
          <w:i/>
          <w:noProof/>
        </w:rPr>
        <w:t>New York</w:t>
      </w:r>
    </w:p>
    <w:p w:rsidR="00561B2E" w:rsidRPr="003A3CD9" w:rsidP="00561B2E">
      <w:pPr>
        <w:spacing w:after="120"/>
        <w:rPr>
          <w:rFonts w:ascii="Calibri" w:hAnsi="Calibri"/>
        </w:rPr>
      </w:pPr>
      <w:r w:rsidRPr="003A3CD9">
        <w:rPr>
          <w:rFonts w:ascii="Calibri" w:hAnsi="Calibri"/>
          <w:b/>
          <w:i/>
        </w:rPr>
        <w:t xml:space="preserve">Accreditation: </w:t>
      </w:r>
      <w:r w:rsidR="009C1282">
        <w:rPr>
          <w:rFonts w:ascii="Calibri" w:hAnsi="Calibri"/>
          <w:noProof/>
        </w:rPr>
        <w:t>The Icahn</w:t>
      </w:r>
      <w:r w:rsidR="009C1282">
        <w:rPr>
          <w:rFonts w:ascii="Calibri" w:hAnsi="Calibri"/>
        </w:rPr>
        <w:t xml:space="preserve"> School of Medicine at Mount Sinai is accredited by the Accreditation Council for Continuing Medical Education to provide continuing medical education for physicians.</w:t>
      </w:r>
    </w:p>
    <w:p w:rsidR="00561B2E" w:rsidRPr="003A3CD9" w:rsidP="00561B2E">
      <w:pPr>
        <w:spacing w:after="120"/>
        <w:rPr>
          <w:rFonts w:ascii="Calibri" w:hAnsi="Calibri"/>
        </w:rPr>
      </w:pPr>
      <w:r w:rsidRPr="003A3CD9">
        <w:rPr>
          <w:rFonts w:ascii="Calibri" w:hAnsi="Calibri"/>
          <w:b/>
          <w:i/>
        </w:rPr>
        <w:t xml:space="preserve">Credit Designation:  </w:t>
      </w:r>
      <w:r w:rsidRPr="003A3CD9">
        <w:rPr>
          <w:rFonts w:ascii="Calibri" w:hAnsi="Calibri"/>
        </w:rPr>
        <w:t xml:space="preserve">The </w:t>
      </w:r>
      <w:r w:rsidR="002C3D8A">
        <w:rPr>
          <w:rFonts w:ascii="Calibri" w:hAnsi="Calibri"/>
        </w:rPr>
        <w:t>Icahn School of Medicine at Mount Sinai</w:t>
      </w:r>
      <w:r w:rsidRPr="003A3CD9">
        <w:rPr>
          <w:rFonts w:ascii="Calibri" w:hAnsi="Calibri"/>
        </w:rPr>
        <w:t xml:space="preserve"> designates this liv</w:t>
      </w:r>
      <w:r w:rsidR="00B810A5">
        <w:rPr>
          <w:rFonts w:ascii="Calibri" w:hAnsi="Calibri"/>
        </w:rPr>
        <w:t xml:space="preserve">e activity for a maximum of  </w:t>
      </w:r>
      <w:r w:rsidR="00C35EAB">
        <w:rPr>
          <w:rFonts w:ascii="Calibri" w:hAnsi="Calibri"/>
          <w:noProof/>
        </w:rPr>
        <w:t>6.25</w:t>
      </w:r>
      <w:r w:rsidRPr="003A3CD9">
        <w:rPr>
          <w:rFonts w:ascii="Calibri" w:hAnsi="Calibri"/>
        </w:rPr>
        <w:t xml:space="preserve"> </w:t>
      </w:r>
      <w:r w:rsidRPr="003A3CD9">
        <w:rPr>
          <w:rFonts w:ascii="Calibri" w:hAnsi="Calibri"/>
          <w:i/>
        </w:rPr>
        <w:t>AMA PRA Category 1 credit(s</w:t>
      </w:r>
      <w:r w:rsidRPr="003A3CD9">
        <w:rPr>
          <w:rFonts w:ascii="Calibri" w:hAnsi="Calibri"/>
        </w:rPr>
        <w:t xml:space="preserve">)™. Physicians should claim </w:t>
      </w:r>
      <w:r>
        <w:rPr>
          <w:rFonts w:ascii="Calibri" w:hAnsi="Calibri"/>
        </w:rPr>
        <w:t xml:space="preserve">only the </w:t>
      </w:r>
      <w:r w:rsidRPr="003A3CD9">
        <w:rPr>
          <w:rFonts w:ascii="Calibri" w:hAnsi="Calibri"/>
        </w:rPr>
        <w:t>credit commensurate with the extent of their participation in the activity.</w:t>
      </w:r>
    </w:p>
    <w:p w:rsidR="002C3D8A" w:rsidP="00561B2E">
      <w:pPr>
        <w:rPr>
          <w:rFonts w:ascii="Calibri" w:hAnsi="Calibri"/>
          <w:b/>
          <w:i/>
        </w:rPr>
      </w:pPr>
    </w:p>
    <w:p w:rsidR="002C3D8A" w:rsidP="00561B2E">
      <w:pPr>
        <w:rPr>
          <w:bCs/>
          <w:iCs/>
          <w:color w:val="000000"/>
          <w:sz w:val="20"/>
          <w:szCs w:val="20"/>
        </w:rPr>
      </w:pPr>
      <w:r>
        <w:rPr>
          <w:rFonts w:ascii="Calibri" w:hAnsi="Calibri"/>
          <w:b/>
          <w:i/>
        </w:rPr>
        <w:t xml:space="preserve">Faculty Disclosure Policy: </w:t>
      </w:r>
      <w:r w:rsidRPr="002C3D8A">
        <w:rPr>
          <w:rFonts w:ascii="Calibri" w:hAnsi="Calibri"/>
          <w:b/>
          <w:i/>
        </w:rPr>
        <w:t xml:space="preserve"> </w:t>
      </w:r>
      <w:r w:rsidRPr="002C3D8A">
        <w:rPr>
          <w:rFonts w:ascii="Calibri" w:hAnsi="Calibri"/>
          <w:bCs/>
          <w:i/>
          <w:iCs/>
          <w:color w:val="000000"/>
        </w:rPr>
        <w:t>It is the policy of Icahn School of Medicine at Mount Sinai to ensure objectivity, balance, independence, transparency, and scientific rigor in all CME-sponsored educational activities.  All faculty participating in the planning or implementation of a sponsored activity are expected to disclose to the audience any relevant financial relationships and to assist in resolving any conflict of interest that may arise from the relationship.  Presenters must also make a meaningful disclosure to the audience of their discussions of unlabeled or unapproved drugs or devices.</w:t>
      </w:r>
      <w:r w:rsidRPr="002C3D8A">
        <w:rPr>
          <w:rFonts w:ascii="Calibri" w:hAnsi="Calibri"/>
          <w:bCs/>
          <w:iCs/>
          <w:color w:val="000000"/>
          <w:sz w:val="20"/>
          <w:szCs w:val="20"/>
        </w:rPr>
        <w:t xml:space="preserve">  </w:t>
      </w:r>
    </w:p>
    <w:p w:rsidR="002C3D8A" w:rsidRPr="002C3D8A" w:rsidP="00561B2E">
      <w:pPr>
        <w:rPr>
          <w:rFonts w:ascii="Calibri" w:hAnsi="Calibri"/>
          <w:i/>
        </w:rPr>
      </w:pPr>
    </w:p>
    <w:p w:rsidR="00561B2E" w:rsidRPr="003A3364" w:rsidP="00561B2E">
      <w:pPr>
        <w:rPr>
          <w:rFonts w:ascii="Calibri" w:hAnsi="Calibri"/>
          <w:b/>
          <w:i/>
        </w:rPr>
      </w:pPr>
      <w:r w:rsidRPr="003A3CD9">
        <w:rPr>
          <w:rFonts w:ascii="Calibri" w:hAnsi="Calibri"/>
          <w:b/>
          <w:i/>
        </w:rPr>
        <w:t>Disclosure of Financial Relationships:</w:t>
      </w:r>
    </w:p>
    <w:p w:rsidR="00561B2E" w:rsidRPr="003A3CD9" w:rsidP="00561B2E">
      <w:pPr>
        <w:rPr>
          <w:rFonts w:ascii="Calibri" w:hAnsi="Calibri"/>
          <w:i/>
        </w:rPr>
      </w:pPr>
      <w:r>
        <w:rPr>
          <w:rFonts w:ascii="Calibri" w:hAnsi="Calibri"/>
          <w:i/>
        </w:rPr>
        <w:t xml:space="preserve">The planners, </w:t>
      </w:r>
      <w:r w:rsidRPr="003A3CD9">
        <w:rPr>
          <w:rFonts w:ascii="Calibri" w:hAnsi="Calibri"/>
          <w:i/>
        </w:rPr>
        <w:t>moderators</w:t>
      </w:r>
      <w:r>
        <w:rPr>
          <w:rFonts w:ascii="Calibri" w:hAnsi="Calibri"/>
          <w:i/>
        </w:rPr>
        <w:t xml:space="preserve"> or speakers</w:t>
      </w:r>
      <w:r w:rsidRPr="003A3CD9">
        <w:rPr>
          <w:rFonts w:ascii="Calibri" w:hAnsi="Calibri"/>
          <w:i/>
        </w:rPr>
        <w:t xml:space="preserve"> of this RSS have the following financial relationship(s) with commercial interests to disclose:</w:t>
      </w:r>
    </w:p>
    <w:p w:rsidR="00561B2E" w:rsidRPr="00422F56" w:rsidP="00561B2E">
      <w:pPr>
        <w:rPr>
          <w:rFonts w:ascii="Calibri" w:hAnsi="Calibri"/>
          <w:i/>
        </w:rPr>
      </w:pPr>
      <w:r>
        <w:rPr>
          <w:rFonts w:ascii="Calibri" w:hAnsi="Calibri"/>
          <w:i/>
        </w:rPr>
        <w:tab/>
      </w:r>
      <w:bookmarkStart w:id="0" w:name="_GoBack"/>
      <w:bookmarkEnd w:id="0"/>
      <w:r w:rsidRPr="003A3CD9">
        <w:rPr>
          <w:rFonts w:ascii="Calibri" w:hAnsi="Calibri"/>
          <w:i/>
        </w:rPr>
        <w:tab/>
      </w:r>
    </w:p>
    <w:p w:rsidR="00561B2E" w:rsidRPr="003A3CD9" w:rsidP="00561B2E">
      <w:pPr>
        <w:rPr>
          <w:rFonts w:ascii="Calibri" w:hAnsi="Calibri"/>
        </w:rPr>
      </w:pPr>
    </w:p>
    <w:sectPr w:rsidSect="00561B2E">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3D8A" w:rsidRPr="002C3D8A" w:rsidP="002C3D8A">
    <w:pPr>
      <w:jc w:val="center"/>
      <w:rPr>
        <w:rFonts w:asciiTheme="majorHAnsi" w:hAnsiTheme="majorHAnsi"/>
        <w:b/>
        <w:bCs/>
      </w:rPr>
    </w:pPr>
    <w:r>
      <w:rPr>
        <w:rFonts w:asciiTheme="majorHAnsi" w:hAnsiTheme="majorHAnsi"/>
        <w:noProof/>
      </w:rPr>
      <w:pict>
        <v:shapetype id="_x0000_t202" coordsize="21600,21600" o:spt="202" path="m,l,21600r21600,l21600,xe">
          <v:stroke joinstyle="miter"/>
          <v:path gradientshapeok="t" o:connecttype="rect"/>
        </v:shapetype>
        <v:shape id="Text Box 6" o:spid="_x0000_s2049" type="#_x0000_t202" style="height:60.7pt;margin-left:27pt;margin-top:-26.95pt;mso-height-percent:0;mso-height-relative:page;mso-width-percent:0;mso-width-relative:page;mso-wrap-distance-bottom:0;mso-wrap-distance-left:9pt;mso-wrap-distance-right:9pt;mso-wrap-distance-top:0;mso-wrap-style:none;position:absolute;v-text-anchor:top;visibility:visible;width:108.3pt;z-index:251658240" stroked="f">
          <v:stroke dashstyle="1 1" endcap="round"/>
          <v:textbox style="mso-fit-shape-to-text:t">
            <w:txbxContent>
              <w:p w:rsidR="002C3D8A" w:rsidRPr="00D40A3E" w:rsidP="002C3D8A">
                <w:pPr>
                  <w:jc w:val="center"/>
                  <w:rPr>
                    <w:b/>
                    <w:bCs/>
                  </w:rPr>
                </w:pPr>
                <w:r>
                  <w:rPr>
                    <w:b/>
                    <w:bCs/>
                    <w:noProof/>
                  </w:rPr>
                  <w:drawing>
                    <wp:inline distT="0" distB="0" distL="0" distR="0">
                      <wp:extent cx="1192062" cy="679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MC Icahn RGB Hrztl Web.jpg"/>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192062" cy="679450"/>
                              </a:xfrm>
                              <a:prstGeom prst="rect">
                                <a:avLst/>
                              </a:prstGeom>
                            </pic:spPr>
                          </pic:pic>
                        </a:graphicData>
                      </a:graphic>
                    </wp:inline>
                  </w:drawing>
                </w:r>
              </w:p>
            </w:txbxContent>
          </v:textbox>
          <w10:wrap type="square"/>
        </v:shape>
      </w:pict>
    </w:r>
    <w:r w:rsidRPr="002C3D8A">
      <w:rPr>
        <w:rFonts w:asciiTheme="majorHAnsi" w:hAnsiTheme="majorHAnsi"/>
        <w:b/>
        <w:bCs/>
      </w:rPr>
      <w:t>The Page and William Black Post-Graduate School</w:t>
    </w:r>
  </w:p>
  <w:p w:rsidR="002C3D8A" w:rsidRPr="002C3D8A" w:rsidP="002C3D8A">
    <w:pPr>
      <w:jc w:val="center"/>
      <w:rPr>
        <w:rFonts w:asciiTheme="majorHAnsi" w:hAnsiTheme="majorHAnsi"/>
        <w:b/>
        <w:bCs/>
      </w:rPr>
    </w:pPr>
    <w:r w:rsidRPr="002C3D8A">
      <w:rPr>
        <w:rFonts w:asciiTheme="majorHAnsi" w:hAnsiTheme="majorHAnsi"/>
        <w:b/>
        <w:bCs/>
      </w:rPr>
      <w:t>Icahn School of Medicine at Mount Sinai</w:t>
    </w:r>
  </w:p>
  <w:p w:rsidR="00561B2E">
    <w:pPr>
      <w:pStyle w:val="Header"/>
    </w:pPr>
  </w:p>
  <w:p w:rsidR="00561B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E712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B7E65"/>
    <w:rPr>
      <w:rFonts w:ascii="Tahoma" w:hAnsi="Tahoma"/>
      <w:sz w:val="16"/>
      <w:szCs w:val="16"/>
    </w:rPr>
  </w:style>
  <w:style w:type="character" w:customStyle="1" w:styleId="BalloonTextChar">
    <w:name w:val="Balloon Text Char"/>
    <w:link w:val="BalloonText"/>
    <w:rsid w:val="005B7E65"/>
    <w:rPr>
      <w:rFonts w:ascii="Tahoma" w:hAnsi="Tahoma" w:cs="Tahoma"/>
      <w:sz w:val="16"/>
      <w:szCs w:val="16"/>
    </w:rPr>
  </w:style>
  <w:style w:type="paragraph" w:styleId="Header">
    <w:name w:val="header"/>
    <w:basedOn w:val="Normal"/>
    <w:link w:val="HeaderChar"/>
    <w:uiPriority w:val="99"/>
    <w:rsid w:val="005B7E65"/>
    <w:pPr>
      <w:tabs>
        <w:tab w:val="center" w:pos="4680"/>
        <w:tab w:val="right" w:pos="9360"/>
      </w:tabs>
    </w:pPr>
  </w:style>
  <w:style w:type="character" w:customStyle="1" w:styleId="HeaderChar">
    <w:name w:val="Header Char"/>
    <w:link w:val="Header"/>
    <w:uiPriority w:val="99"/>
    <w:rsid w:val="005B7E65"/>
    <w:rPr>
      <w:sz w:val="24"/>
      <w:szCs w:val="24"/>
    </w:rPr>
  </w:style>
  <w:style w:type="paragraph" w:styleId="Footer">
    <w:name w:val="footer"/>
    <w:basedOn w:val="Normal"/>
    <w:link w:val="FooterChar"/>
    <w:rsid w:val="005B7E65"/>
    <w:pPr>
      <w:tabs>
        <w:tab w:val="center" w:pos="4680"/>
        <w:tab w:val="right" w:pos="9360"/>
      </w:tabs>
    </w:pPr>
  </w:style>
  <w:style w:type="character" w:customStyle="1" w:styleId="FooterChar">
    <w:name w:val="Footer Char"/>
    <w:link w:val="Footer"/>
    <w:rsid w:val="005B7E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MabryLeaA</dc:creator>
  <cp:lastModifiedBy>donna kuhlman</cp:lastModifiedBy>
  <cp:revision>4</cp:revision>
  <dcterms:created xsi:type="dcterms:W3CDTF">2017-12-08T19:12:00Z</dcterms:created>
  <dcterms:modified xsi:type="dcterms:W3CDTF">2018-06-15T21:27:00Z</dcterms:modified>
</cp:coreProperties>
</file>